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4F10CAC6" w14:textId="77777777" w:rsidR="000F1218" w:rsidRPr="00ED6D65" w:rsidRDefault="000F1218">
      <w:pPr>
        <w:pStyle w:val="a3"/>
        <w:rPr>
          <w:b/>
          <w:sz w:val="30"/>
        </w:rPr>
      </w:pPr>
    </w:p>
    <w:p w14:paraId="3E44E310" w14:textId="77777777" w:rsidR="007D6DE0" w:rsidRDefault="007D6DE0" w:rsidP="007D6DE0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6A6FD0D" w14:textId="6B9A81CF" w:rsidR="007D6DE0" w:rsidRDefault="003E7BFA" w:rsidP="007D6DE0">
      <w:pPr>
        <w:spacing w:line="276" w:lineRule="auto"/>
        <w:ind w:left="4962"/>
        <w:rPr>
          <w:rFonts w:eastAsia="Calibri"/>
          <w:sz w:val="28"/>
          <w:szCs w:val="28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172E088" wp14:editId="4F1C7E79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23FDF3A" w14:textId="77777777" w:rsidR="000F1218" w:rsidRPr="00ED6D65" w:rsidRDefault="000F1218">
      <w:pPr>
        <w:pStyle w:val="a3"/>
        <w:rPr>
          <w:b/>
          <w:sz w:val="30"/>
        </w:rPr>
      </w:pPr>
    </w:p>
    <w:p w14:paraId="29E1F369" w14:textId="77777777" w:rsidR="000F1218" w:rsidRPr="00ED6D65" w:rsidRDefault="000F1218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57785335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1" w:name="_Hlk104899277"/>
      <w:r w:rsidR="00374548" w:rsidRPr="00BE355C">
        <w:rPr>
          <w:b/>
          <w:bCs/>
          <w:caps/>
          <w:sz w:val="28"/>
          <w:szCs w:val="28"/>
        </w:rPr>
        <w:t>ПМ.0</w:t>
      </w:r>
      <w:r w:rsidR="00374548">
        <w:rPr>
          <w:b/>
          <w:bCs/>
          <w:caps/>
          <w:sz w:val="28"/>
          <w:szCs w:val="28"/>
        </w:rPr>
        <w:t>4</w:t>
      </w:r>
      <w:r w:rsidR="00374548" w:rsidRPr="00BE355C">
        <w:rPr>
          <w:b/>
          <w:bCs/>
          <w:caps/>
          <w:sz w:val="28"/>
          <w:szCs w:val="28"/>
        </w:rPr>
        <w:t xml:space="preserve"> «</w:t>
      </w:r>
      <w:r w:rsidR="00374548" w:rsidRPr="004D4581">
        <w:rPr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74548">
        <w:rPr>
          <w:b/>
          <w:bCs/>
          <w:sz w:val="28"/>
          <w:szCs w:val="28"/>
        </w:rPr>
        <w:t>»</w:t>
      </w:r>
    </w:p>
    <w:bookmarkEnd w:id="1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Pr="00ED6D65" w:rsidRDefault="000F1218">
      <w:pPr>
        <w:pStyle w:val="a3"/>
        <w:rPr>
          <w:b/>
          <w:sz w:val="30"/>
        </w:rPr>
      </w:pPr>
    </w:p>
    <w:p w14:paraId="4F2B238A" w14:textId="77777777" w:rsidR="007D6DE0" w:rsidRPr="00ED6D65" w:rsidRDefault="007D6DE0">
      <w:pPr>
        <w:pStyle w:val="a3"/>
        <w:rPr>
          <w:b/>
          <w:sz w:val="30"/>
        </w:rPr>
      </w:pPr>
    </w:p>
    <w:p w14:paraId="35E33FC3" w14:textId="77777777" w:rsidR="000F1218" w:rsidRPr="00ED6D65" w:rsidRDefault="000F1218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67CCCE18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9B419B">
        <w:rPr>
          <w:b/>
          <w:sz w:val="28"/>
        </w:rPr>
        <w:t>2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223412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34A937B7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</w:t>
      </w:r>
      <w:bookmarkStart w:id="2" w:name="_Hlk118894986"/>
      <w:r w:rsidR="00374548" w:rsidRPr="0074285E">
        <w:rPr>
          <w:caps/>
        </w:rPr>
        <w:t>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  <w:bookmarkEnd w:id="2"/>
      <w:r w:rsidR="00374548">
        <w:rPr>
          <w:b/>
          <w:bCs/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3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3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222EC202" w:rsidR="008B4E17" w:rsidRPr="000C76D9" w:rsidRDefault="000C76D9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  <w:r w:rsidRPr="000C76D9">
        <w:rPr>
          <w:rFonts w:eastAsia="Tahoma"/>
          <w:color w:val="000000"/>
          <w:sz w:val="24"/>
          <w:szCs w:val="24"/>
          <w:lang w:eastAsia="ru-RU" w:bidi="ru-RU"/>
        </w:rPr>
        <w:t>Автор – составитель: Андреева Е.И., ст. преподаватель.</w:t>
      </w:r>
    </w:p>
    <w:p w14:paraId="78BAB7AB" w14:textId="77777777" w:rsidR="000C76D9" w:rsidRPr="009B419B" w:rsidRDefault="000C76D9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</w:p>
    <w:p w14:paraId="313984F2" w14:textId="52BAD20F" w:rsidR="008B4E17" w:rsidRPr="00ED6D65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4C2061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</w:t>
      </w:r>
      <w:r w:rsidR="004C2061" w:rsidRPr="004C2061">
        <w:rPr>
          <w:rFonts w:eastAsia="Tahoma"/>
          <w:color w:val="000000"/>
          <w:sz w:val="24"/>
          <w:szCs w:val="24"/>
          <w:lang w:eastAsia="ru-RU" w:bidi="ru-RU"/>
        </w:rPr>
        <w:t>6</w:t>
      </w:r>
      <w:r w:rsidRPr="004C2061">
        <w:rPr>
          <w:rFonts w:eastAsia="Tahoma"/>
          <w:color w:val="000000"/>
          <w:sz w:val="24"/>
          <w:szCs w:val="24"/>
          <w:lang w:eastAsia="ru-RU" w:bidi="ru-RU"/>
        </w:rPr>
        <w:t>.02.202</w:t>
      </w:r>
      <w:r w:rsidR="004C2061" w:rsidRPr="004C2061">
        <w:rPr>
          <w:rFonts w:eastAsia="Tahoma"/>
          <w:color w:val="000000"/>
          <w:sz w:val="24"/>
          <w:szCs w:val="24"/>
          <w:lang w:eastAsia="ru-RU" w:bidi="ru-RU"/>
        </w:rPr>
        <w:t>2 г.</w:t>
      </w:r>
    </w:p>
    <w:p w14:paraId="2488C50A" w14:textId="2ADA0AF3" w:rsidR="000F1218" w:rsidRPr="00ED6D65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ED6D65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ED6D65" w:rsidSect="00223412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3F56FDD6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</w:p>
    <w:p w14:paraId="350A82FC" w14:textId="5B294DAE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4 «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Организация и управление процессом изготовления рекламного проекта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374548" w:rsidRPr="00374548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F0CF36A" w14:textId="77777777" w:rsidR="00374548" w:rsidRPr="009B419B" w:rsidRDefault="00374548" w:rsidP="00374548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9B419B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223412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374548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374548" w14:paraId="5E6DA5F0" w14:textId="77777777" w:rsidTr="005A6E0D">
        <w:tc>
          <w:tcPr>
            <w:tcW w:w="2143" w:type="dxa"/>
          </w:tcPr>
          <w:p w14:paraId="4E8902E8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374548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374548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374548" w14:paraId="07F2D2DF" w14:textId="77777777" w:rsidTr="005A6E0D">
        <w:tc>
          <w:tcPr>
            <w:tcW w:w="2143" w:type="dxa"/>
          </w:tcPr>
          <w:p w14:paraId="2F83BFA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374548" w14:paraId="2613C65F" w14:textId="77777777" w:rsidTr="005A6E0D">
        <w:tc>
          <w:tcPr>
            <w:tcW w:w="2143" w:type="dxa"/>
          </w:tcPr>
          <w:p w14:paraId="09907754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374548" w14:paraId="05D63C35" w14:textId="77777777" w:rsidTr="005A6E0D">
        <w:tc>
          <w:tcPr>
            <w:tcW w:w="2143" w:type="dxa"/>
          </w:tcPr>
          <w:p w14:paraId="5FADF63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374548" w14:paraId="1854AF03" w14:textId="77777777" w:rsidTr="005A6E0D">
        <w:tc>
          <w:tcPr>
            <w:tcW w:w="2143" w:type="dxa"/>
          </w:tcPr>
          <w:p w14:paraId="06D06B0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374548" w14:paraId="5ADBC93C" w14:textId="77777777" w:rsidTr="005A6E0D">
        <w:tc>
          <w:tcPr>
            <w:tcW w:w="2143" w:type="dxa"/>
          </w:tcPr>
          <w:p w14:paraId="03CAB7D9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374548" w14:paraId="30AE3965" w14:textId="77777777" w:rsidTr="005A6E0D">
        <w:tc>
          <w:tcPr>
            <w:tcW w:w="2143" w:type="dxa"/>
          </w:tcPr>
          <w:p w14:paraId="3CC3EEC5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374548" w14:paraId="3F2C2B44" w14:textId="77777777" w:rsidTr="005A6E0D">
        <w:tc>
          <w:tcPr>
            <w:tcW w:w="2143" w:type="dxa"/>
          </w:tcPr>
          <w:p w14:paraId="26DCB3D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374548" w14:paraId="60DE4A02" w14:textId="77777777" w:rsidTr="005A6E0D">
        <w:tc>
          <w:tcPr>
            <w:tcW w:w="2143" w:type="dxa"/>
          </w:tcPr>
          <w:p w14:paraId="1C84A98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74548" w:rsidRPr="00374548" w14:paraId="13990A38" w14:textId="77777777" w:rsidTr="005A6E0D">
        <w:tc>
          <w:tcPr>
            <w:tcW w:w="2143" w:type="dxa"/>
          </w:tcPr>
          <w:p w14:paraId="6C6BC03A" w14:textId="029074C2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10</w:t>
            </w:r>
          </w:p>
        </w:tc>
        <w:tc>
          <w:tcPr>
            <w:tcW w:w="7705" w:type="dxa"/>
          </w:tcPr>
          <w:p w14:paraId="7CBA5698" w14:textId="7ADBE335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374548" w:rsidRPr="00374548" w14:paraId="7A2A8F05" w14:textId="77777777" w:rsidTr="005A6E0D">
        <w:tc>
          <w:tcPr>
            <w:tcW w:w="2143" w:type="dxa"/>
          </w:tcPr>
          <w:p w14:paraId="0DC52DBB" w14:textId="60A852F4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11</w:t>
            </w:r>
          </w:p>
        </w:tc>
        <w:tc>
          <w:tcPr>
            <w:tcW w:w="7705" w:type="dxa"/>
          </w:tcPr>
          <w:p w14:paraId="60781781" w14:textId="34833E5F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374548" w:rsidRPr="00374548" w14:paraId="10060B1F" w14:textId="77777777" w:rsidTr="002C6031">
        <w:tc>
          <w:tcPr>
            <w:tcW w:w="9848" w:type="dxa"/>
            <w:gridSpan w:val="2"/>
          </w:tcPr>
          <w:p w14:paraId="6EECDDCE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374548">
              <w:t xml:space="preserve"> </w:t>
            </w:r>
            <w:r w:rsidRPr="00374548">
              <w:rPr>
                <w:rStyle w:val="23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374548" w:rsidRPr="00374548" w14:paraId="39630295" w14:textId="77777777" w:rsidTr="002C6031">
        <w:tc>
          <w:tcPr>
            <w:tcW w:w="2143" w:type="dxa"/>
          </w:tcPr>
          <w:p w14:paraId="52E556D6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4.1.</w:t>
            </w:r>
          </w:p>
        </w:tc>
        <w:tc>
          <w:tcPr>
            <w:tcW w:w="7705" w:type="dxa"/>
          </w:tcPr>
          <w:p w14:paraId="434140E2" w14:textId="77777777" w:rsidR="00374548" w:rsidRPr="00374548" w:rsidRDefault="00374548" w:rsidP="002C6031">
            <w:pPr>
              <w:jc w:val="both"/>
            </w:pPr>
            <w:r w:rsidRPr="00374548">
              <w:t>Планировать собственную работу в составе коллектива исполнителей.</w:t>
            </w:r>
          </w:p>
        </w:tc>
      </w:tr>
      <w:tr w:rsidR="00374548" w:rsidRPr="00374548" w14:paraId="42C7D81A" w14:textId="77777777" w:rsidTr="002C6031">
        <w:tc>
          <w:tcPr>
            <w:tcW w:w="2143" w:type="dxa"/>
          </w:tcPr>
          <w:p w14:paraId="2666D7DC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4.2.</w:t>
            </w:r>
          </w:p>
        </w:tc>
        <w:tc>
          <w:tcPr>
            <w:tcW w:w="7705" w:type="dxa"/>
          </w:tcPr>
          <w:p w14:paraId="5273E292" w14:textId="77777777" w:rsidR="00374548" w:rsidRPr="00374548" w:rsidRDefault="00374548" w:rsidP="002C6031">
            <w:pPr>
              <w:jc w:val="both"/>
            </w:pPr>
            <w:r w:rsidRPr="00374548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374548" w:rsidRPr="00374548" w14:paraId="51A8A4B6" w14:textId="77777777" w:rsidTr="002C6031">
        <w:tc>
          <w:tcPr>
            <w:tcW w:w="2143" w:type="dxa"/>
          </w:tcPr>
          <w:p w14:paraId="07BA27DA" w14:textId="77777777" w:rsidR="00374548" w:rsidRPr="00374548" w:rsidRDefault="00374548" w:rsidP="002C6031">
            <w:pPr>
              <w:spacing w:line="280" w:lineRule="exact"/>
              <w:ind w:right="560"/>
              <w:jc w:val="both"/>
              <w:rPr>
                <w:i/>
                <w:iCs/>
              </w:rPr>
            </w:pPr>
            <w:r w:rsidRPr="00374548">
              <w:t>ПК 4.3.</w:t>
            </w:r>
          </w:p>
        </w:tc>
        <w:tc>
          <w:tcPr>
            <w:tcW w:w="7705" w:type="dxa"/>
          </w:tcPr>
          <w:p w14:paraId="0B9797D6" w14:textId="77777777" w:rsidR="00374548" w:rsidRPr="00374548" w:rsidRDefault="00374548" w:rsidP="002C6031">
            <w:pPr>
              <w:jc w:val="both"/>
              <w:rPr>
                <w:i/>
                <w:iCs/>
              </w:rPr>
            </w:pPr>
            <w:r w:rsidRPr="00374548">
              <w:t>Готовить документы для регистрации авторского права на рекламный продукт.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6BCC8248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374548">
        <w:rPr>
          <w:sz w:val="24"/>
          <w:szCs w:val="24"/>
          <w:lang w:val="ru-RU"/>
        </w:rPr>
        <w:t>4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lastRenderedPageBreak/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5D6D36FB" w:rsidR="00ED6D65" w:rsidRPr="00ED6D65" w:rsidRDefault="00ED6D65" w:rsidP="00ED6D65">
            <w:r w:rsidRPr="00ED6D65">
              <w:rPr>
                <w:sz w:val="20"/>
                <w:szCs w:val="20"/>
              </w:rPr>
              <w:t>ПМ.</w:t>
            </w:r>
            <w:r w:rsidR="00374548" w:rsidRPr="00682906">
              <w:rPr>
                <w:sz w:val="20"/>
                <w:szCs w:val="20"/>
              </w:rPr>
              <w:t xml:space="preserve"> 0</w:t>
            </w:r>
            <w:r w:rsidR="00374548">
              <w:rPr>
                <w:sz w:val="20"/>
                <w:szCs w:val="20"/>
              </w:rPr>
              <w:t>4</w:t>
            </w:r>
            <w:r w:rsidR="00374548" w:rsidRPr="00682906">
              <w:rPr>
                <w:sz w:val="20"/>
                <w:szCs w:val="20"/>
              </w:rPr>
              <w:t xml:space="preserve"> </w:t>
            </w:r>
            <w:r w:rsidR="00374548" w:rsidRPr="004D4581">
              <w:rPr>
                <w:sz w:val="20"/>
                <w:szCs w:val="20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2F283536" w:rsidR="00ED6D65" w:rsidRPr="00ED6D65" w:rsidRDefault="00ED6D65" w:rsidP="00374548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 w:rsidR="00374548"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 w:rsidR="00374548"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 w:rsidR="00374548">
              <w:rPr>
                <w:sz w:val="20"/>
                <w:szCs w:val="20"/>
              </w:rPr>
              <w:t>11</w:t>
            </w:r>
          </w:p>
        </w:tc>
      </w:tr>
      <w:tr w:rsidR="00374548" w:rsidRPr="00ED6D65" w14:paraId="5D76A4C6" w14:textId="77777777" w:rsidTr="005A6E0D">
        <w:tc>
          <w:tcPr>
            <w:tcW w:w="0" w:type="auto"/>
            <w:vMerge/>
          </w:tcPr>
          <w:p w14:paraId="07D31763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374548" w:rsidRPr="00ED6D65" w:rsidRDefault="00374548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187AD97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3A9A2A9A" w14:textId="77777777" w:rsidTr="005A6E0D">
        <w:tc>
          <w:tcPr>
            <w:tcW w:w="0" w:type="auto"/>
            <w:vMerge/>
          </w:tcPr>
          <w:p w14:paraId="2B9C2A08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374548" w:rsidRPr="00ED6D65" w:rsidRDefault="00374548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3BF629A9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374548" w:rsidRPr="00ED6D65" w:rsidRDefault="00374548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6DA91A66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374548" w:rsidRPr="00ED6D65" w:rsidRDefault="00374548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0B66AB60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374548" w:rsidRPr="00ED6D65" w:rsidRDefault="00374548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7CC94023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374548" w:rsidRPr="00ED6D65" w:rsidRDefault="00374548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4FAE7CB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374548" w:rsidRPr="00ED6D65" w:rsidRDefault="00374548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73F472F1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1FE7371" w14:textId="77777777" w:rsidTr="005A6E0D">
        <w:tc>
          <w:tcPr>
            <w:tcW w:w="0" w:type="auto"/>
          </w:tcPr>
          <w:p w14:paraId="7A04B5A4" w14:textId="77777777" w:rsidR="00374548" w:rsidRPr="00ED6D65" w:rsidRDefault="00374548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374548" w:rsidRPr="00ED6D65" w:rsidRDefault="00374548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374548" w:rsidRPr="00ED6D65" w:rsidRDefault="00374548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03EA734D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223412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4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5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5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lastRenderedPageBreak/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lastRenderedPageBreak/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ED6D65">
        <w:t>Roman</w:t>
      </w:r>
      <w:proofErr w:type="spellEnd"/>
      <w:r w:rsidRPr="00ED6D65">
        <w:t xml:space="preserve">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223412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ED6D65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ED6D65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ED6D65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6" w:name="Par134"/>
      <w:bookmarkEnd w:id="6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ED6D65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ED6D65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ED6D65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F841C62" w:rsidR="00ED6D65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41A99C1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6C7FE4E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46BA2A03" w14:textId="77777777" w:rsidTr="0085706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651A59F3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-4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3EF9BE6E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0E0B65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4.2.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6634E8FA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6DAAE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4.3.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5857F3" w:rsidR="00374548" w:rsidRPr="00374548" w:rsidRDefault="00374548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374548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374548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374548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374548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374548" w:rsidRPr="00681D50" w:rsidRDefault="00374548" w:rsidP="00AC2250">
            <w:pPr>
              <w:contextualSpacing/>
              <w:jc w:val="center"/>
            </w:pPr>
          </w:p>
        </w:tc>
      </w:tr>
      <w:tr w:rsidR="00374548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374548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374548" w:rsidRPr="00681D50" w:rsidRDefault="00374548" w:rsidP="00AC2250">
            <w:pPr>
              <w:contextualSpacing/>
            </w:pPr>
          </w:p>
        </w:tc>
      </w:tr>
      <w:tr w:rsidR="00374548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374548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374548" w:rsidRPr="00ED6D65" w:rsidRDefault="00374548" w:rsidP="00AC2250">
            <w:pPr>
              <w:ind w:left="318"/>
              <w:contextualSpacing/>
            </w:pPr>
          </w:p>
        </w:tc>
      </w:tr>
      <w:tr w:rsidR="00374548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374548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374548" w:rsidRPr="00681D50" w:rsidRDefault="00374548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223412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710224960">
    <w:abstractNumId w:val="12"/>
  </w:num>
  <w:num w:numId="2" w16cid:durableId="972559693">
    <w:abstractNumId w:val="24"/>
  </w:num>
  <w:num w:numId="3" w16cid:durableId="1354964983">
    <w:abstractNumId w:val="26"/>
  </w:num>
  <w:num w:numId="4" w16cid:durableId="1869679689">
    <w:abstractNumId w:val="22"/>
  </w:num>
  <w:num w:numId="5" w16cid:durableId="2028558438">
    <w:abstractNumId w:val="10"/>
  </w:num>
  <w:num w:numId="6" w16cid:durableId="1135946799">
    <w:abstractNumId w:val="16"/>
  </w:num>
  <w:num w:numId="7" w16cid:durableId="226913812">
    <w:abstractNumId w:val="30"/>
  </w:num>
  <w:num w:numId="8" w16cid:durableId="1591815307">
    <w:abstractNumId w:val="7"/>
  </w:num>
  <w:num w:numId="9" w16cid:durableId="1581988577">
    <w:abstractNumId w:val="28"/>
  </w:num>
  <w:num w:numId="10" w16cid:durableId="1469319846">
    <w:abstractNumId w:val="18"/>
  </w:num>
  <w:num w:numId="11" w16cid:durableId="1415007419">
    <w:abstractNumId w:val="23"/>
  </w:num>
  <w:num w:numId="12" w16cid:durableId="1378509058">
    <w:abstractNumId w:val="27"/>
  </w:num>
  <w:num w:numId="13" w16cid:durableId="765153022">
    <w:abstractNumId w:val="11"/>
  </w:num>
  <w:num w:numId="14" w16cid:durableId="1774280970">
    <w:abstractNumId w:val="21"/>
  </w:num>
  <w:num w:numId="15" w16cid:durableId="1988512460">
    <w:abstractNumId w:val="17"/>
  </w:num>
  <w:num w:numId="16" w16cid:durableId="156264732">
    <w:abstractNumId w:val="35"/>
  </w:num>
  <w:num w:numId="17" w16cid:durableId="843974648">
    <w:abstractNumId w:val="25"/>
  </w:num>
  <w:num w:numId="18" w16cid:durableId="514878946">
    <w:abstractNumId w:val="34"/>
  </w:num>
  <w:num w:numId="19" w16cid:durableId="1749765984">
    <w:abstractNumId w:val="29"/>
  </w:num>
  <w:num w:numId="20" w16cid:durableId="1367488145">
    <w:abstractNumId w:val="14"/>
  </w:num>
  <w:num w:numId="21" w16cid:durableId="1940865332">
    <w:abstractNumId w:val="8"/>
  </w:num>
  <w:num w:numId="22" w16cid:durableId="644313572">
    <w:abstractNumId w:val="0"/>
  </w:num>
  <w:num w:numId="23" w16cid:durableId="738939213">
    <w:abstractNumId w:val="9"/>
  </w:num>
  <w:num w:numId="24" w16cid:durableId="2074354293">
    <w:abstractNumId w:val="4"/>
  </w:num>
  <w:num w:numId="25" w16cid:durableId="1026563710">
    <w:abstractNumId w:val="13"/>
  </w:num>
  <w:num w:numId="26" w16cid:durableId="353657552">
    <w:abstractNumId w:val="15"/>
  </w:num>
  <w:num w:numId="27" w16cid:durableId="855507264">
    <w:abstractNumId w:val="19"/>
  </w:num>
  <w:num w:numId="28" w16cid:durableId="1729643635">
    <w:abstractNumId w:val="6"/>
  </w:num>
  <w:num w:numId="29" w16cid:durableId="997029619">
    <w:abstractNumId w:val="20"/>
  </w:num>
  <w:num w:numId="30" w16cid:durableId="1767965734">
    <w:abstractNumId w:val="31"/>
  </w:num>
  <w:num w:numId="31" w16cid:durableId="1794202584">
    <w:abstractNumId w:val="3"/>
  </w:num>
  <w:num w:numId="32" w16cid:durableId="849562638">
    <w:abstractNumId w:val="5"/>
  </w:num>
  <w:num w:numId="33" w16cid:durableId="1737318383">
    <w:abstractNumId w:val="1"/>
  </w:num>
  <w:num w:numId="34" w16cid:durableId="139198571">
    <w:abstractNumId w:val="32"/>
  </w:num>
  <w:num w:numId="35" w16cid:durableId="1345594778">
    <w:abstractNumId w:val="2"/>
  </w:num>
  <w:num w:numId="36" w16cid:durableId="14644192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C76D9"/>
    <w:rsid w:val="000F1218"/>
    <w:rsid w:val="001A05D9"/>
    <w:rsid w:val="001A0A8C"/>
    <w:rsid w:val="001C19E6"/>
    <w:rsid w:val="001D2B40"/>
    <w:rsid w:val="0021459C"/>
    <w:rsid w:val="00223412"/>
    <w:rsid w:val="00300598"/>
    <w:rsid w:val="00374548"/>
    <w:rsid w:val="003E7BFA"/>
    <w:rsid w:val="00406168"/>
    <w:rsid w:val="004512B8"/>
    <w:rsid w:val="0049339B"/>
    <w:rsid w:val="00493D86"/>
    <w:rsid w:val="004A79C1"/>
    <w:rsid w:val="004C206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7D6DE0"/>
    <w:rsid w:val="008168D6"/>
    <w:rsid w:val="008B4E17"/>
    <w:rsid w:val="008E2773"/>
    <w:rsid w:val="008F7BFA"/>
    <w:rsid w:val="00972F41"/>
    <w:rsid w:val="009B419B"/>
    <w:rsid w:val="00B27C4F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D6D65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5666AB8A-E16D-4531-AE82-B427A6C4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6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5071</Words>
  <Characters>28907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9</cp:revision>
  <cp:lastPrinted>2022-03-17T06:10:00Z</cp:lastPrinted>
  <dcterms:created xsi:type="dcterms:W3CDTF">2024-02-21T11:01:00Z</dcterms:created>
  <dcterms:modified xsi:type="dcterms:W3CDTF">2024-03-25T12:32:00Z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